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Eliminazione delle barriere architettoniche (pesanti) - CILA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svolti alla eliminazione delle barriere architettoniche.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445/2000 -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Non e' previso alcun provvedimento conclusivo e non si forma il silenzio, residua il controllo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